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7" w:name="_GoBack"/>
      <w:bookmarkEnd w:id="7"/>
      <w:r>
        <w:rPr>
          <w:rFonts w:hint="eastAsia" w:ascii="黑体" w:hAnsi="黑体" w:eastAsia="黑体"/>
          <w:sz w:val="36"/>
          <w:szCs w:val="36"/>
        </w:rPr>
        <w:t>拟申报</w:t>
      </w:r>
      <w:r>
        <w:rPr>
          <w:rFonts w:ascii="黑体" w:hAnsi="黑体" w:eastAsia="黑体"/>
          <w:sz w:val="36"/>
          <w:szCs w:val="36"/>
        </w:rPr>
        <w:t>2023年度国家科学技术进步奖项目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公示内容</w:t>
      </w: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一、推荐奖种：</w:t>
      </w:r>
      <w:bookmarkStart w:id="0" w:name="_Hlk155818036"/>
      <w:r>
        <w:rPr>
          <w:rFonts w:hint="eastAsia" w:ascii="宋体" w:hAnsi="宋体" w:eastAsia="宋体"/>
        </w:rPr>
        <w:t>国家科学技术进步奖</w:t>
      </w:r>
      <w:bookmarkEnd w:id="0"/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二、</w:t>
      </w:r>
      <w:bookmarkStart w:id="1" w:name="_Hlk155808446"/>
      <w:r>
        <w:rPr>
          <w:rFonts w:ascii="宋体" w:hAnsi="宋体" w:eastAsia="宋体"/>
          <w:b/>
          <w:bCs/>
        </w:rPr>
        <w:t>项目名称：</w:t>
      </w:r>
      <w:r>
        <w:rPr>
          <w:rFonts w:hint="eastAsia" w:ascii="宋体" w:hAnsi="宋体" w:eastAsia="宋体"/>
        </w:rPr>
        <w:t>前列腺癌精准诊疗关键技术体系的建立及应用</w:t>
      </w:r>
      <w:bookmarkEnd w:id="1"/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三、</w:t>
      </w:r>
      <w:bookmarkStart w:id="2" w:name="_Hlk155808459"/>
      <w:r>
        <w:rPr>
          <w:rFonts w:ascii="宋体" w:hAnsi="宋体" w:eastAsia="宋体"/>
          <w:b/>
          <w:bCs/>
        </w:rPr>
        <w:t>提名者</w:t>
      </w:r>
      <w:r>
        <w:rPr>
          <w:rFonts w:hint="eastAsia" w:ascii="宋体" w:hAnsi="宋体" w:eastAsia="宋体"/>
          <w:b/>
          <w:bCs/>
        </w:rPr>
        <w:t>（专家提名）：</w:t>
      </w:r>
      <w:bookmarkStart w:id="3" w:name="_Hlk155808481"/>
      <w:r>
        <w:rPr>
          <w:rFonts w:hint="eastAsia" w:ascii="宋体" w:hAnsi="宋体" w:eastAsia="宋体"/>
        </w:rPr>
        <w:t>张旭</w:t>
      </w:r>
      <w:bookmarkEnd w:id="2"/>
      <w:r>
        <w:rPr>
          <w:rFonts w:hint="eastAsia" w:ascii="宋体" w:hAnsi="宋体" w:eastAsia="宋体"/>
        </w:rPr>
        <w:t>（中国人民解放军总医院）、夏强（上海交通大学医学院附属仁济医院）、俞飚（中国科学院上海有机化学研究所）</w:t>
      </w:r>
    </w:p>
    <w:bookmarkEnd w:id="3"/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四、提名等级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 xml:space="preserve">等奖 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五、</w:t>
      </w:r>
      <w:bookmarkStart w:id="4" w:name="_Hlk155808491"/>
      <w:r>
        <w:rPr>
          <w:rFonts w:ascii="宋体" w:hAnsi="宋体" w:eastAsia="宋体"/>
          <w:b/>
          <w:bCs/>
        </w:rPr>
        <w:t>主要完成人</w:t>
      </w:r>
      <w:bookmarkEnd w:id="4"/>
      <w:r>
        <w:rPr>
          <w:rFonts w:hint="eastAsia" w:ascii="宋体" w:hAnsi="宋体" w:eastAsia="宋体"/>
          <w:b/>
          <w:bCs/>
        </w:rPr>
        <w:t>（含排序）：</w:t>
      </w:r>
      <w:bookmarkStart w:id="5" w:name="_Hlk155808500"/>
      <w:r>
        <w:rPr>
          <w:rFonts w:hint="eastAsia" w:ascii="宋体" w:hAnsi="宋体" w:eastAsia="宋体"/>
        </w:rPr>
        <w:t>薛蔚，潘家骅，秦骏，董柏君，董樑，高栋，朱鹤，季敏标，朱寅杰，罗中宝</w:t>
      </w:r>
      <w:bookmarkEnd w:id="5"/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六、</w:t>
      </w:r>
      <w:bookmarkStart w:id="6" w:name="_Hlk155808510"/>
      <w:r>
        <w:rPr>
          <w:rFonts w:ascii="宋体" w:hAnsi="宋体" w:eastAsia="宋体"/>
          <w:b/>
          <w:bCs/>
        </w:rPr>
        <w:t>主要完成单位</w:t>
      </w:r>
      <w:r>
        <w:rPr>
          <w:rFonts w:hint="eastAsia" w:ascii="宋体" w:hAnsi="宋体" w:eastAsia="宋体"/>
          <w:b/>
          <w:bCs/>
        </w:rPr>
        <w:t>：</w:t>
      </w:r>
      <w:r>
        <w:rPr>
          <w:rFonts w:hint="eastAsia" w:ascii="宋体" w:hAnsi="宋体" w:eastAsia="宋体"/>
        </w:rPr>
        <w:t>上海交通大学医学院附属仁济医院、上海诺生医疗科技有限公司、中国科学院上海营养与健康研究所、中国科学院分子细胞科学卓越创新中心、复旦大学、上海市嘉定区中心医院</w:t>
      </w:r>
      <w:bookmarkEnd w:id="6"/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七</w:t>
      </w:r>
      <w:r>
        <w:rPr>
          <w:rFonts w:ascii="宋体" w:hAnsi="宋体" w:eastAsia="宋体"/>
          <w:b/>
          <w:bCs/>
        </w:rPr>
        <w:t>、</w:t>
      </w:r>
      <w:r>
        <w:rPr>
          <w:rFonts w:hint="eastAsia" w:ascii="宋体" w:hAnsi="宋体" w:eastAsia="宋体"/>
          <w:b/>
          <w:bCs/>
        </w:rPr>
        <w:t>主要知识产权和标准规范等目录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41"/>
        <w:gridCol w:w="753"/>
        <w:gridCol w:w="2318"/>
        <w:gridCol w:w="1046"/>
        <w:gridCol w:w="134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w w:val="104"/>
                <w:sz w:val="16"/>
                <w:szCs w:val="16"/>
              </w:rPr>
              <w:t>知识产权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10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w w:val="104"/>
                <w:sz w:val="16"/>
                <w:szCs w:val="16"/>
              </w:rPr>
              <w:t xml:space="preserve">(标准)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w w:val="104"/>
                <w:sz w:val="16"/>
                <w:szCs w:val="16"/>
              </w:rPr>
              <w:t>类别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知识产权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 xml:space="preserve">(标准)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具体名称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国家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(地区)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授权号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(标准编号)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授权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(标准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发布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)日期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证书编号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(标准批准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发布部门）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发明专利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(标准)有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w w:val="104"/>
                <w:sz w:val="16"/>
                <w:szCs w:val="16"/>
              </w:rPr>
              <w:t>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授权发明专利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一种用于纳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/微塑料快速检测的拉曼光谱成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像系统及方法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CN 114460060 B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2023-10-03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6377829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Stimulated Raman Scattering Microscopy Enables Gleason Scoring of Prostate Core Needle Biopsy by a Convolutional Neural Network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DOI: 10.1158/0008-5472.CAN-22-2146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2023-02-15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Cancer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Research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The European Association of Urology Biochemical Recurrence Risk Groups Predict Findings on PSMA PET in Patients with Biochemically Recurrent Prostate Cancer After Radical Prostatectomy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DOI: 10.2967/jnumed.121.262411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2021-07-29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The Journal of Nuclear Medicine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Determination of optimal 68 Ga-PSMA PET/CT imaging time in prostate cancers by total-body dynamic PET/CT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DOI: 10.1007/s00259-021-05659-8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2021-12-28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European Journal of Nuclear Medicine and Molecular Imaging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Extended Focal Ablation of Localized Prostate Cancer With High-Frequency Irreversible Electroporation: A Nonrandomized Controlled Trial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DOI: 10.1001/jamasurg.2022.2230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2022-07-06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JAMA Surgery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授权发明专利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一种脉冲电场消融参数优化系统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CN 112489741 B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2021-11-05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4775268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Comprehensive evaluation of methods for small extracellular vesicles separation from human plasma, urine and cell culture medium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DOI: 10.1002/jev2.12044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021-0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Journal of Extracellular Vesicles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Use of Circulating Tumor DNA for the Clinical Management of Metastatic Castration-Resistant Prostate Cancer: A Multicenter, Real-World Study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Doi: 10.6004/jnccn.2020.7663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021-05-14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Journal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the National Comprehensive Cancer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Network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Gremlin1 is a therapeutically targetable FGFR1 ligand that regulates lineage plasticity and castration resistance in prostate cancer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DOI: 10.1038/s43018-022-00380-3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2022-05-27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Nature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Cancer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Chromatin remodeling ATPase BRG1 and PTEN are synthetic lethal in prostate cancer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212121"/>
                <w:sz w:val="18"/>
                <w:szCs w:val="18"/>
                <w:shd w:val="clear" w:color="auto" w:fill="FFFFFF"/>
              </w:rPr>
              <w:t>DOI: 10.1172/JCI123557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Journal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Clinical Investigation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其他有效的知识产权</w:t>
            </w:r>
          </w:p>
        </w:tc>
      </w:tr>
    </w:tbl>
    <w:p>
      <w:pPr>
        <w:spacing w:line="360" w:lineRule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0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style01"/>
    <w:basedOn w:val="6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2016</Characters>
  <Paragraphs>111</Paragraphs>
  <TotalTime>707</TotalTime>
  <ScaleCrop>false</ScaleCrop>
  <LinksUpToDate>false</LinksUpToDate>
  <CharactersWithSpaces>2186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2024-01-03T01:58:00Z</dcterms:created>
  <dc:creator>新星 杜</dc:creator>
  <cp:lastModifiedBy>陈祥龙</cp:lastModifiedBy>
  <cp:lastPrinted>2024-01-10T12:28:00Z</cp:lastPrinted>
  <dcterms:modified xsi:type="dcterms:W3CDTF">2024-01-12T02:14:27Z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AC8FB0C7803746A99F9B53F561DF032D_13</vt:lpwstr>
  </property>
  <property fmtid="{D5CDD505-2E9C-101B-9397-08002B2CF9AE}" pid="3" name="KSOProductBuildVer">
    <vt:lpwstr>2052-12.1.0.16250</vt:lpwstr>
  </property>
</Properties>
</file>